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августа 2012 г. N 25273</w:t>
      </w:r>
    </w:p>
    <w:p w:rsidR="0076477A" w:rsidRDefault="007647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2012 г. N 726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ПРОФЕССИОНАЛЬНЫМ ЗНАНИЯМ И НАВЫКАМ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ФЕДЕРАЛЬНОЙ СЛУЖБЫ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 И ЕЕ ТЕРРИТОРИАЛЬНЫХ ОРГАНОВ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29, ст. 4295; N 48, ст. 6730; N 50, ст. 7337)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>
        <w:rPr>
          <w:rFonts w:ascii="Calibri" w:hAnsi="Calibri" w:cs="Calibri"/>
        </w:rP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>
        <w:rPr>
          <w:rFonts w:ascii="Calibri" w:hAnsi="Calibri" w:cs="Calibri"/>
        </w:rP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Квалификационные </w:t>
      </w:r>
      <w:hyperlink w:anchor="Par4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 г., регистрационный N 15049).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2012 г. N 726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КВАЛИФИКАЦИОННЫЕ ТРЕБОВАНИЯ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ИСПОЛНЕНИЯ ДОЛЖНОСТНЫХ ОБЯЗАННОСТЕЙ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ФЕДЕРАЛЬНОЙ СЛУЖБЫ ПО НАДЗОРУ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И ЕЕ ТЕРРИТОРИАЛЬНЫХ ОРГАНОВ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Категория "руководители" высшей, главной и ведущей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>
        <w:rPr>
          <w:rFonts w:ascii="Calibri" w:hAnsi="Calibri" w:cs="Calibri"/>
        </w:rPr>
        <w:t xml:space="preserve">иметь склонность к кооперации, гибкости и компромиссам при решении проблем в конфликтных ситуациях; </w:t>
      </w:r>
      <w:r>
        <w:rPr>
          <w:rFonts w:ascii="Calibri" w:hAnsi="Calibri" w:cs="Calibri"/>
        </w:rPr>
        <w:lastRenderedPageBreak/>
        <w:t>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>
        <w:rPr>
          <w:rFonts w:ascii="Calibri" w:hAnsi="Calibri" w:cs="Calibri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Категория "помощники (советники)" главной группы должностей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</w:t>
      </w:r>
      <w:r>
        <w:rPr>
          <w:rFonts w:ascii="Calibri" w:hAnsi="Calibri" w:cs="Calibri"/>
        </w:rPr>
        <w:lastRenderedPageBreak/>
        <w:t>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>
        <w:rPr>
          <w:rFonts w:ascii="Calibri" w:hAnsi="Calibri" w:cs="Calibri"/>
        </w:rP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Категория "специалисты" ведущей группы должностей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</w:t>
      </w:r>
      <w:r>
        <w:rPr>
          <w:rFonts w:ascii="Calibri" w:hAnsi="Calibri" w:cs="Calibri"/>
        </w:rPr>
        <w:lastRenderedPageBreak/>
        <w:t>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Категория "специалисты" старшей группы должностей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rFonts w:ascii="Calibri" w:hAnsi="Calibri" w:cs="Calibri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</w:t>
      </w:r>
      <w:r>
        <w:rPr>
          <w:rFonts w:ascii="Calibri" w:hAnsi="Calibri" w:cs="Calibri"/>
        </w:rPr>
        <w:lastRenderedPageBreak/>
        <w:t>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Категория "обеспечивающие специалисты" ведущей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Категория "обеспечивающие специалисты" старшей и младшей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должностей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</w:t>
      </w:r>
      <w:r>
        <w:rPr>
          <w:rFonts w:ascii="Calibri" w:hAnsi="Calibri" w:cs="Calibri"/>
        </w:rPr>
        <w:lastRenderedPageBreak/>
        <w:t>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477A" w:rsidRDefault="007647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76477A">
      <w:bookmarkStart w:id="9" w:name="_GoBack"/>
      <w:bookmarkEnd w:id="9"/>
    </w:p>
    <w:sectPr w:rsidR="0025062A" w:rsidSect="00B2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A"/>
    <w:rsid w:val="000655E3"/>
    <w:rsid w:val="0076477A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A3A1916EE74FFB59261B69BFDDF5715CB03CBD9AE70B2BBC446Bs7k5H" TargetMode="External"/><Relationship Id="rId13" Type="http://schemas.openxmlformats.org/officeDocument/2006/relationships/hyperlink" Target="consultantplus://offline/ref=FC4CA3A1916EE74FFB59261B69BFDDF57A56BE3BB6C7ED0372B046s6k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A3A1916EE74FFB59261B69BFDDF57959B937B491BA0123E54869726ADB35EE28D61AA152F8CCs3k6H" TargetMode="External"/><Relationship Id="rId12" Type="http://schemas.openxmlformats.org/officeDocument/2006/relationships/hyperlink" Target="consultantplus://offline/ref=FC4CA3A1916EE74FFB59261B69BFDDF57A56BE3BB6C7ED0372B046s6kC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A3A1916EE74FFB59261B69BFDDF57959BA3DBC91BA0123E54869726ADB35EE28D61AA152F8C7s3k9H" TargetMode="External"/><Relationship Id="rId11" Type="http://schemas.openxmlformats.org/officeDocument/2006/relationships/hyperlink" Target="consultantplus://offline/ref=FC4CA3A1916EE74FFB59261B69BFDDF57A56BE3BB6C7ED0372B046s6k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4CA3A1916EE74FFB59261B69BFDDF57A56BE3BB6C7ED0372B046s6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CA3A1916EE74FFB59261B69BFDDF57A56BE3BB6C7ED0372B046s6kCH" TargetMode="External"/><Relationship Id="rId14" Type="http://schemas.openxmlformats.org/officeDocument/2006/relationships/hyperlink" Target="consultantplus://offline/ref=FC4CA3A1916EE74FFB59261B69BFDDF57A56BE3BB6C7ED0372B046s6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3553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Карпенко Наталья Ивановна</cp:lastModifiedBy>
  <cp:revision>1</cp:revision>
  <dcterms:created xsi:type="dcterms:W3CDTF">2015-03-03T07:36:00Z</dcterms:created>
  <dcterms:modified xsi:type="dcterms:W3CDTF">2015-03-03T07:36:00Z</dcterms:modified>
</cp:coreProperties>
</file>