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C" w:rsidRDefault="005E5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569C" w:rsidRDefault="005E569C">
      <w:pPr>
        <w:pStyle w:val="ConsPlusNormal"/>
        <w:jc w:val="both"/>
        <w:outlineLvl w:val="0"/>
      </w:pPr>
    </w:p>
    <w:p w:rsidR="005E569C" w:rsidRDefault="005E569C">
      <w:pPr>
        <w:pStyle w:val="ConsPlusNormal"/>
        <w:outlineLvl w:val="0"/>
      </w:pPr>
      <w:r>
        <w:t>Зарегистрировано в Минюсте России 27 ноября 2015 г. N 39874</w:t>
      </w:r>
    </w:p>
    <w:p w:rsidR="005E569C" w:rsidRDefault="005E5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Title"/>
        <w:jc w:val="center"/>
      </w:pPr>
      <w:r>
        <w:t>МИНИСТЕРСТВО СВЯЗИ И МАССОВЫХ КОММУНИКАЦИЙ</w:t>
      </w:r>
    </w:p>
    <w:p w:rsidR="005E569C" w:rsidRDefault="005E569C">
      <w:pPr>
        <w:pStyle w:val="ConsPlusTitle"/>
        <w:jc w:val="center"/>
      </w:pPr>
      <w:r>
        <w:t>РОССИЙСКОЙ ФЕДЕРАЦИИ</w:t>
      </w:r>
    </w:p>
    <w:p w:rsidR="005E569C" w:rsidRDefault="005E569C">
      <w:pPr>
        <w:pStyle w:val="ConsPlusTitle"/>
        <w:jc w:val="center"/>
      </w:pPr>
    </w:p>
    <w:p w:rsidR="005E569C" w:rsidRDefault="005E569C">
      <w:pPr>
        <w:pStyle w:val="ConsPlusTitle"/>
        <w:jc w:val="center"/>
      </w:pPr>
      <w:r>
        <w:t>ПРИКАЗ</w:t>
      </w:r>
    </w:p>
    <w:p w:rsidR="005E569C" w:rsidRDefault="005E569C">
      <w:pPr>
        <w:pStyle w:val="ConsPlusTitle"/>
        <w:jc w:val="center"/>
      </w:pPr>
      <w:r>
        <w:t>от 30 сентября 2015 г. N 371</w:t>
      </w:r>
    </w:p>
    <w:p w:rsidR="005E569C" w:rsidRDefault="005E569C">
      <w:pPr>
        <w:pStyle w:val="ConsPlusTitle"/>
        <w:jc w:val="center"/>
      </w:pPr>
    </w:p>
    <w:p w:rsidR="005E569C" w:rsidRDefault="005E569C">
      <w:pPr>
        <w:pStyle w:val="ConsPlusTitle"/>
        <w:jc w:val="center"/>
      </w:pPr>
      <w:r>
        <w:t>ОБ УТВЕРЖДЕНИИ ТРЕБОВАНИЙ</w:t>
      </w:r>
    </w:p>
    <w:p w:rsidR="005E569C" w:rsidRDefault="005E569C">
      <w:pPr>
        <w:pStyle w:val="ConsPlusTitle"/>
        <w:jc w:val="center"/>
      </w:pPr>
      <w:r>
        <w:t>К ПОСТРОЕНИЮ, УПРАВЛЕНИЮ, НУМЕРАЦИИ,</w:t>
      </w:r>
    </w:p>
    <w:p w:rsidR="005E569C" w:rsidRDefault="005E569C">
      <w:pPr>
        <w:pStyle w:val="ConsPlusTitle"/>
        <w:jc w:val="center"/>
      </w:pPr>
      <w:r>
        <w:t>ОРГАНИЗАЦИОННО-ТЕХНИЧЕСКОМУ ОБЕСПЕЧЕНИЮ УСТОЙЧИВОГО</w:t>
      </w:r>
    </w:p>
    <w:p w:rsidR="005E569C" w:rsidRDefault="005E569C">
      <w:pPr>
        <w:pStyle w:val="ConsPlusTitle"/>
        <w:jc w:val="center"/>
      </w:pPr>
      <w:r>
        <w:t>ФУНКЦИОНИРОВАНИЯ, УСЛОВИЯМ ВЗАИМОДЕЙСТВИЯ, ЭКСПЛУАТАЦИИ</w:t>
      </w:r>
    </w:p>
    <w:p w:rsidR="005E569C" w:rsidRDefault="005E569C">
      <w:pPr>
        <w:pStyle w:val="ConsPlusTitle"/>
        <w:jc w:val="center"/>
      </w:pPr>
      <w:r>
        <w:t>СЕТИ СВЯЗИ ПРИ ОКАЗАНИИ УНИВЕРСАЛЬНЫХ УСЛУГ СВЯЗИ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5" w:history="1">
        <w:r>
          <w:rPr>
            <w:color w:val="0000FF"/>
          </w:rPr>
          <w:t>пункта 2 статьи 12</w:t>
        </w:r>
      </w:hyperlink>
      <w:r>
        <w:t xml:space="preserve">, </w:t>
      </w:r>
      <w:hyperlink r:id="rId6" w:history="1">
        <w:r>
          <w:rPr>
            <w:color w:val="0000FF"/>
          </w:rPr>
          <w:t>пункта 3 статьи 26</w:t>
        </w:r>
      </w:hyperlink>
      <w:r>
        <w:t xml:space="preserve">, </w:t>
      </w:r>
      <w:hyperlink r:id="rId7" w:history="1">
        <w:r>
          <w:rPr>
            <w:color w:val="0000FF"/>
          </w:rPr>
          <w:t>пункта 1 статьи 46</w:t>
        </w:r>
      </w:hyperlink>
      <w:r>
        <w:t xml:space="preserve">, </w:t>
      </w:r>
      <w:hyperlink r:id="rId8" w:history="1">
        <w:r>
          <w:rPr>
            <w:color w:val="0000FF"/>
          </w:rPr>
          <w:t>главы 8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2004, N 35, ст. 3607; N 45, ст. 4377; 2006, N 10, ст. 1069; N 31 (ч. 1), ст. 3431, ст. 3452; 2007, N 1 (ч. 1), ст. 8; N 7, ст. 835; 2008, N 18, ст. 1941; 2009, N 29, ст. 3625; 2010, N 7, ст. 705; N 15, ст. 1737; N 27, ст. 3408; N 31, ст. 4190; 2011, N 7, ст. 901; N 9, ст. 1205; N 25, ст. 3535; N 27, ст. 3873, ст. 3880; N 29, ст. 4284, ст. 4291; N 30 (ч. 1), ст. 4590; N 45, ст. 6333; N 49 (ч. 5), ст. 7061; N 50, ст. 7351, ст. 7366; 2012, N 31, ст. 4322, ст. 4328; N 53 (ч. 1), ст. 7578; 2013, N 19, ст. 2326; N 27, ст. 3450; N 30 (ч. I), ст. 4062; N 43, ст. 5451; N 44, ст. 5643; N 48, ст. 6162; N 49 (ч. I), ст. 6339, ст. 6347; N 52 (ч. I), ст. 6961; 2014, N 6, ст. 560; N 14, ст. 1552; N 19, ст. 2302; N 26 (ч. I), ст. 3366, ст. 3377; N 30 (ч. I), ст. 4229, ст. 4273; 2015, N 29 (ч. I), ст. 4342, ст. 4383) и </w:t>
      </w:r>
      <w:hyperlink r:id="rId9" w:history="1">
        <w:r>
          <w:rPr>
            <w:color w:val="0000FF"/>
          </w:rPr>
          <w:t>Правил</w:t>
        </w:r>
      </w:hyperlink>
      <w:r>
        <w:t xml:space="preserve"> оказания универсальных услуг связи, утвержденных постановлением Правительства Российской Федерации от 21 апреля 2005 г. N 241 (Собрание законодательства Российской Федерации, 2005, N 17, ст. 1572; 2014, N 32, ст. 4525; N 50, ст. 7084), при оказании универсальных услуг связи приказываю:</w:t>
      </w:r>
    </w:p>
    <w:p w:rsidR="005E569C" w:rsidRDefault="005E569C">
      <w:pPr>
        <w:pStyle w:val="ConsPlusNormal"/>
        <w:ind w:firstLine="540"/>
        <w:jc w:val="both"/>
      </w:pPr>
      <w:bookmarkStart w:id="0" w:name="P17"/>
      <w:bookmarkEnd w:id="0"/>
      <w:r>
        <w:t>1. Утвердить:</w:t>
      </w:r>
    </w:p>
    <w:p w:rsidR="005E569C" w:rsidRDefault="005E569C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Требования</w:t>
        </w:r>
      </w:hyperlink>
      <w:r>
        <w:t xml:space="preserve">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 (Приложение N 1);</w:t>
      </w:r>
    </w:p>
    <w:p w:rsidR="005E569C" w:rsidRDefault="005E569C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Требования</w:t>
        </w:r>
      </w:hyperlink>
      <w:r>
        <w:t xml:space="preserve">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(без использования пользовательского оборудования абонента) (Приложение N 2);</w:t>
      </w:r>
    </w:p>
    <w:p w:rsidR="005E569C" w:rsidRDefault="005E569C">
      <w:pPr>
        <w:pStyle w:val="ConsPlusNormal"/>
        <w:ind w:firstLine="540"/>
        <w:jc w:val="both"/>
      </w:pPr>
      <w:hyperlink w:anchor="P147" w:history="1">
        <w:r>
          <w:rPr>
            <w:color w:val="0000FF"/>
          </w:rPr>
          <w:t>Требования</w:t>
        </w:r>
      </w:hyperlink>
      <w:r>
        <w:t xml:space="preserve">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(Приложение N 3).</w:t>
      </w:r>
    </w:p>
    <w:p w:rsidR="005E569C" w:rsidRDefault="005E569C">
      <w:pPr>
        <w:pStyle w:val="ConsPlusNormal"/>
        <w:ind w:firstLine="540"/>
        <w:jc w:val="both"/>
      </w:pPr>
      <w:r>
        <w:t xml:space="preserve">2. Операторам связи при построении и эксплуатации сетей связи, предназначенных для оказания универсальных услуг связи, руководствоваться требованиями, утвержденными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5E569C" w:rsidRDefault="005E569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06.12.2005 N 137 "Об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связи" (зарегистрирован в Министерстве юстиции Российской Федерации 13 </w:t>
      </w:r>
      <w:r>
        <w:lastRenderedPageBreak/>
        <w:t>декабря 2005 года, регистрационный N 7268).</w:t>
      </w:r>
    </w:p>
    <w:p w:rsidR="005E569C" w:rsidRDefault="005E569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02.11.2010 N 157 "О внесении изменений в приказ Министерства информационных технологий и связи Российской Федерации от 06.12.2005 N 137" (зарегистрирован в Министерстве юстиции Российской Федерации 1 декабря 2010 года, регистрационный N 19094).</w:t>
      </w:r>
    </w:p>
    <w:p w:rsidR="005E569C" w:rsidRDefault="005E569C">
      <w:pPr>
        <w:pStyle w:val="ConsPlusNormal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right"/>
      </w:pPr>
      <w:r>
        <w:t>Министр</w:t>
      </w:r>
    </w:p>
    <w:p w:rsidR="005E569C" w:rsidRDefault="005E569C">
      <w:pPr>
        <w:pStyle w:val="ConsPlusNormal"/>
        <w:jc w:val="right"/>
      </w:pPr>
      <w:r>
        <w:t>Н.А.НИКИФОРОВ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right"/>
        <w:outlineLvl w:val="0"/>
      </w:pPr>
      <w:r>
        <w:t>Приложение N 1</w:t>
      </w:r>
    </w:p>
    <w:p w:rsidR="005E569C" w:rsidRDefault="005E569C">
      <w:pPr>
        <w:pStyle w:val="ConsPlusNormal"/>
        <w:jc w:val="right"/>
      </w:pPr>
      <w:r>
        <w:t>к приказу Минкомсвязи России</w:t>
      </w:r>
    </w:p>
    <w:p w:rsidR="005E569C" w:rsidRDefault="005E569C">
      <w:pPr>
        <w:pStyle w:val="ConsPlusNormal"/>
        <w:jc w:val="right"/>
      </w:pPr>
      <w:r>
        <w:t>от 30.09.2015 N 371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5E569C" w:rsidRDefault="005E569C">
      <w:pPr>
        <w:pStyle w:val="ConsPlusTitle"/>
        <w:jc w:val="center"/>
      </w:pPr>
      <w:r>
        <w:t>К ПОСТРОЕНИЮ, УПРАВЛЕНИЮ, НУМЕРАЦИИ,</w:t>
      </w:r>
    </w:p>
    <w:p w:rsidR="005E569C" w:rsidRDefault="005E569C">
      <w:pPr>
        <w:pStyle w:val="ConsPlusTitle"/>
        <w:jc w:val="center"/>
      </w:pPr>
      <w:r>
        <w:t>ОРГАНИЗАЦИОННО-ТЕХНИЧЕСКОМУ ОБЕСПЕЧЕНИЮ УСТОЙЧИВОГО</w:t>
      </w:r>
    </w:p>
    <w:p w:rsidR="005E569C" w:rsidRDefault="005E569C">
      <w:pPr>
        <w:pStyle w:val="ConsPlusTitle"/>
        <w:jc w:val="center"/>
      </w:pPr>
      <w:r>
        <w:t>ФУНКЦИОНИРОВАНИЯ, УСЛОВИЯМ ВЗАИМОДЕЙСТВИЯ, ЭКСПЛУАТАЦИИ</w:t>
      </w:r>
    </w:p>
    <w:p w:rsidR="005E569C" w:rsidRDefault="005E569C">
      <w:pPr>
        <w:pStyle w:val="ConsPlusTitle"/>
        <w:jc w:val="center"/>
      </w:pPr>
      <w:r>
        <w:t>СЕТИ СВЯЗИ ПРИ ОКАЗАНИИ УНИВЕРСАЛЬНЫХ УСЛУГ ТЕЛЕФОННОЙ</w:t>
      </w:r>
    </w:p>
    <w:p w:rsidR="005E569C" w:rsidRDefault="005E569C">
      <w:pPr>
        <w:pStyle w:val="ConsPlusTitle"/>
        <w:jc w:val="center"/>
      </w:pPr>
      <w:r>
        <w:t>СВЯЗИ С ИСПОЛЬЗОВАНИЕМ ТАКСОФОНОВ, МНОГОФУНКЦИОНАЛЬНЫХ</w:t>
      </w:r>
    </w:p>
    <w:p w:rsidR="005E569C" w:rsidRDefault="005E569C">
      <w:pPr>
        <w:pStyle w:val="ConsPlusTitle"/>
        <w:jc w:val="center"/>
      </w:pPr>
      <w:r>
        <w:t>УСТРОЙСТВ, ИНФОРМАЦИОННЫХ КИОСКОВ (ИНФОМАТОВ)</w:t>
      </w:r>
    </w:p>
    <w:p w:rsidR="005E569C" w:rsidRDefault="005E569C">
      <w:pPr>
        <w:pStyle w:val="ConsPlusTitle"/>
        <w:jc w:val="center"/>
      </w:pPr>
      <w:r>
        <w:t>И АНАЛОГИЧНЫХ УСТРОЙСТВ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ind w:firstLine="540"/>
        <w:jc w:val="both"/>
      </w:pPr>
      <w:r>
        <w:t>1. Универсальные услуги телефонной связи оказываются оператором универсального обслуживания с использованием таксофонов, многофункциональных устройств, информационных киосков (инфоматов) и аналогичных устройств (далее - телефонные средства коллективного доступа).</w:t>
      </w:r>
    </w:p>
    <w:p w:rsidR="005E569C" w:rsidRDefault="005E569C">
      <w:pPr>
        <w:pStyle w:val="ConsPlusNormal"/>
        <w:ind w:firstLine="540"/>
        <w:jc w:val="both"/>
      </w:pPr>
      <w:r>
        <w:t>Сеть связи включает в себя телефонные средства коллективного доступа, оборудование, используемое для учета объема оказываемых услуг связи, систему управления, мониторинга и контроля за техническим состоянием телефонных средств коллективного доступа, линии связи, соединяющие телефонные средства коллективного доступа с узлами связи сети (сетей) местной телефонной связи.</w:t>
      </w:r>
    </w:p>
    <w:p w:rsidR="005E569C" w:rsidRDefault="005E569C">
      <w:pPr>
        <w:pStyle w:val="ConsPlusNormal"/>
        <w:ind w:firstLine="540"/>
        <w:jc w:val="both"/>
      </w:pPr>
      <w:r>
        <w:t>2. Оператор универсального обслуживания устанавливает телефонные средства коллективного доступа с учетом необходимости обеспечения круглосуточного доступа к ним пользователей, включая создание условий для беспрепятственного доступа инвалидов.</w:t>
      </w:r>
    </w:p>
    <w:p w:rsidR="005E569C" w:rsidRDefault="005E569C">
      <w:pPr>
        <w:pStyle w:val="ConsPlusNormal"/>
        <w:ind w:firstLine="540"/>
        <w:jc w:val="both"/>
      </w:pPr>
      <w:r>
        <w:t>3. Телефонное средство коллективного доступа, установленное вне помещения, размещается в таксофонной кабине или полукабине.</w:t>
      </w:r>
    </w:p>
    <w:p w:rsidR="005E569C" w:rsidRDefault="005E569C">
      <w:pPr>
        <w:pStyle w:val="ConsPlusNormal"/>
        <w:ind w:firstLine="540"/>
        <w:jc w:val="both"/>
      </w:pPr>
      <w:r>
        <w:t>Место расположения телефонного средства коллективного доступа в пределах населенного пункта определяется оператором универсального обслуживания самостоятельно.</w:t>
      </w:r>
    </w:p>
    <w:p w:rsidR="005E569C" w:rsidRDefault="005E569C">
      <w:pPr>
        <w:pStyle w:val="ConsPlusNormal"/>
        <w:ind w:firstLine="540"/>
        <w:jc w:val="both"/>
      </w:pPr>
      <w:r>
        <w:t>Место расположения телефонного средства коллективного доступа должно быть обозначено специальным информационным указателем, включающим следующие сведения:</w:t>
      </w:r>
    </w:p>
    <w:p w:rsidR="005E569C" w:rsidRDefault="005E569C">
      <w:pPr>
        <w:pStyle w:val="ConsPlusNormal"/>
        <w:ind w:firstLine="540"/>
        <w:jc w:val="both"/>
      </w:pPr>
      <w:r>
        <w:t>- наименование вида оказываемой универсальной услуги связи;</w:t>
      </w:r>
    </w:p>
    <w:p w:rsidR="005E569C" w:rsidRDefault="005E569C">
      <w:pPr>
        <w:pStyle w:val="ConsPlusNormal"/>
        <w:ind w:firstLine="540"/>
        <w:jc w:val="both"/>
      </w:pPr>
      <w:r>
        <w:t>- информация о способах подключения/оплаты универсальной услуги связи;</w:t>
      </w:r>
    </w:p>
    <w:p w:rsidR="005E569C" w:rsidRDefault="005E569C">
      <w:pPr>
        <w:pStyle w:val="ConsPlusNormal"/>
        <w:ind w:firstLine="540"/>
        <w:jc w:val="both"/>
      </w:pPr>
      <w:r>
        <w:t>- правила обращения с телефонным средством коллективного доступа для пользования универсальной услугой связи;</w:t>
      </w:r>
    </w:p>
    <w:p w:rsidR="005E569C" w:rsidRDefault="005E569C">
      <w:pPr>
        <w:pStyle w:val="ConsPlusNormal"/>
        <w:ind w:firstLine="540"/>
        <w:jc w:val="both"/>
      </w:pPr>
      <w:r>
        <w:t>- контактная информация для получения справочно-информационной и технической поддержки;</w:t>
      </w:r>
    </w:p>
    <w:p w:rsidR="005E569C" w:rsidRDefault="005E569C">
      <w:pPr>
        <w:pStyle w:val="ConsPlusNormal"/>
        <w:ind w:firstLine="540"/>
        <w:jc w:val="both"/>
      </w:pPr>
      <w:r>
        <w:t>- сведения о тарифах на оказываемую универсальную услугу связи.</w:t>
      </w:r>
    </w:p>
    <w:p w:rsidR="005E569C" w:rsidRDefault="005E569C">
      <w:pPr>
        <w:pStyle w:val="ConsPlusNormal"/>
        <w:ind w:firstLine="540"/>
        <w:jc w:val="both"/>
      </w:pPr>
      <w:r>
        <w:t xml:space="preserve">4. За телефонным средством коллективного доступа закрепляется абонентский номер в </w:t>
      </w:r>
      <w:r>
        <w:lastRenderedPageBreak/>
        <w:t>соответствии с планом нумерации сети местной телефонной связи из ресурса нумерации, географически определяемой зоны нумерации. В телефонном средстве коллективного доступа допускается установка модуля радиоканала для подключения к телефонной сети связи.</w:t>
      </w:r>
    </w:p>
    <w:p w:rsidR="005E569C" w:rsidRDefault="005E569C">
      <w:pPr>
        <w:pStyle w:val="ConsPlusNormal"/>
        <w:ind w:firstLine="540"/>
        <w:jc w:val="both"/>
      </w:pPr>
      <w:r>
        <w:t>5. Телефонное средство коллективного доступа обеспечивает предоставление пользователю:</w:t>
      </w:r>
    </w:p>
    <w:p w:rsidR="005E569C" w:rsidRDefault="005E569C">
      <w:pPr>
        <w:pStyle w:val="ConsPlusNormal"/>
        <w:ind w:firstLine="540"/>
        <w:jc w:val="both"/>
      </w:pPr>
      <w:r>
        <w:t>а) местных телефонных соединений для передачи голосовой информации по сети фиксированной телефонной связи;</w:t>
      </w:r>
    </w:p>
    <w:p w:rsidR="005E569C" w:rsidRDefault="005E569C">
      <w:pPr>
        <w:pStyle w:val="ConsPlusNormal"/>
        <w:ind w:firstLine="540"/>
        <w:jc w:val="both"/>
      </w:pPr>
      <w:r>
        <w:t>б) внутризоновых телефонных соединений;</w:t>
      </w:r>
    </w:p>
    <w:p w:rsidR="005E569C" w:rsidRDefault="005E569C">
      <w:pPr>
        <w:pStyle w:val="ConsPlusNormal"/>
        <w:ind w:firstLine="540"/>
        <w:jc w:val="both"/>
      </w:pPr>
      <w:r>
        <w:t>в) доступа к услугам связи, оказываемым другим оператором связи в сети связи общего пользования;</w:t>
      </w:r>
    </w:p>
    <w:p w:rsidR="005E569C" w:rsidRDefault="005E569C">
      <w:pPr>
        <w:pStyle w:val="ConsPlusNormal"/>
        <w:ind w:firstLine="540"/>
        <w:jc w:val="both"/>
      </w:pPr>
      <w:r>
        <w:t>г) доступа к системе информационно-справочного обслуживания;</w:t>
      </w:r>
    </w:p>
    <w:p w:rsidR="005E569C" w:rsidRDefault="005E569C">
      <w:pPr>
        <w:pStyle w:val="ConsPlusNormal"/>
        <w:ind w:firstLine="540"/>
        <w:jc w:val="both"/>
      </w:pPr>
      <w:r>
        <w:t>д) возможности бесплатного круглосуточного вызова экстренных оперативных служб.</w:t>
      </w:r>
    </w:p>
    <w:p w:rsidR="005E569C" w:rsidRDefault="005E569C">
      <w:pPr>
        <w:pStyle w:val="ConsPlusNormal"/>
        <w:ind w:firstLine="540"/>
        <w:jc w:val="both"/>
      </w:pPr>
      <w:r>
        <w:t>6. В качестве средств, позволяющих пользователю инициировать вызов, используются карты с интегральной микросхемой, обеспечивающие взаимодействие с модулем безопасного применения, эмитированные оператором, оказывающим универсальные услуги связи (далее - универсальные карты связи).</w:t>
      </w:r>
    </w:p>
    <w:p w:rsidR="005E569C" w:rsidRDefault="005E569C">
      <w:pPr>
        <w:pStyle w:val="ConsPlusNormal"/>
        <w:ind w:firstLine="540"/>
        <w:jc w:val="both"/>
      </w:pPr>
      <w:r>
        <w:t xml:space="preserve">При наличии технической возможности оплата универсальных услуг связи может осуществляться в форме наличных или безналичных расчетов (в том числе с использованием платежных карт), а также иными способами, установленными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оказания универсальных услуг связи, утвержденными постановлением Правительства Российской Федерации от 21 апреля 2005 г. N 241 (Собрание законодательства Российской Федерации, 2005, N 17, ст. 1572; 2014, N 32, ст. 4525; N 50, ст. 7084) (далее - Правила оказания универсальных услуг связи).</w:t>
      </w:r>
    </w:p>
    <w:p w:rsidR="005E569C" w:rsidRDefault="005E569C">
      <w:pPr>
        <w:pStyle w:val="ConsPlusNormal"/>
        <w:ind w:firstLine="540"/>
        <w:jc w:val="both"/>
      </w:pPr>
      <w:r>
        <w:t>Телефонные средства коллективного доступа должны обеспечивать возможность инициирования вызова с использованием информации, полученной от оператора универсального обслуживания при оплате пользователем универсальных услуг связи и позволяющей произвести идентификацию пользователя в качестве плательщика непосредственно в месте оказания универсальных услуг связи (далее - код доступа к универсальным услугам связи).</w:t>
      </w:r>
    </w:p>
    <w:p w:rsidR="005E569C" w:rsidRDefault="005E569C">
      <w:pPr>
        <w:pStyle w:val="ConsPlusNormal"/>
        <w:ind w:firstLine="540"/>
        <w:jc w:val="both"/>
      </w:pPr>
      <w:r>
        <w:t>Дополнительно могут быть использованы предоплаченные карты со скретч-панелью, под которой размещается код доступа к услугам связи.</w:t>
      </w:r>
    </w:p>
    <w:p w:rsidR="005E569C" w:rsidRDefault="005E569C">
      <w:pPr>
        <w:pStyle w:val="ConsPlusNormal"/>
        <w:ind w:firstLine="540"/>
        <w:jc w:val="both"/>
      </w:pPr>
      <w:bookmarkStart w:id="2" w:name="P68"/>
      <w:bookmarkEnd w:id="2"/>
      <w:r>
        <w:t>7. На универсальной карте связи должны быть указаны:</w:t>
      </w:r>
    </w:p>
    <w:p w:rsidR="005E569C" w:rsidRDefault="005E569C">
      <w:pPr>
        <w:pStyle w:val="ConsPlusNormal"/>
        <w:ind w:firstLine="540"/>
        <w:jc w:val="both"/>
      </w:pPr>
      <w:r>
        <w:t>а) наименование видов универсальных услуг связи, оплачиваемых с использованием универсальной карты оплаты;</w:t>
      </w:r>
    </w:p>
    <w:p w:rsidR="005E569C" w:rsidRDefault="005E569C">
      <w:pPr>
        <w:pStyle w:val="ConsPlusNormal"/>
        <w:ind w:firstLine="540"/>
        <w:jc w:val="both"/>
      </w:pPr>
      <w:r>
        <w:t>б) размер авансового платежа, внесение которого подтверждает универсальная карта связи;</w:t>
      </w:r>
    </w:p>
    <w:p w:rsidR="005E569C" w:rsidRDefault="005E569C">
      <w:pPr>
        <w:pStyle w:val="ConsPlusNormal"/>
        <w:ind w:firstLine="540"/>
        <w:jc w:val="both"/>
      </w:pPr>
      <w:r>
        <w:t>в) срок действия универсальной карты связи;</w:t>
      </w:r>
    </w:p>
    <w:p w:rsidR="005E569C" w:rsidRDefault="005E569C">
      <w:pPr>
        <w:pStyle w:val="ConsPlusNormal"/>
        <w:ind w:firstLine="540"/>
        <w:jc w:val="both"/>
      </w:pPr>
      <w:r>
        <w:t>г) контактная информация для получения справочно-информационной и технической поддержки;</w:t>
      </w:r>
    </w:p>
    <w:p w:rsidR="005E569C" w:rsidRDefault="005E569C">
      <w:pPr>
        <w:pStyle w:val="ConsPlusNormal"/>
        <w:ind w:firstLine="540"/>
        <w:jc w:val="both"/>
      </w:pPr>
      <w:r>
        <w:t>д) правила пользования универсальной картой связи;</w:t>
      </w:r>
    </w:p>
    <w:p w:rsidR="005E569C" w:rsidRDefault="005E569C">
      <w:pPr>
        <w:pStyle w:val="ConsPlusNormal"/>
        <w:ind w:firstLine="540"/>
        <w:jc w:val="both"/>
      </w:pPr>
      <w:r>
        <w:t>е) идентификационный номер универсальной карты связи.</w:t>
      </w:r>
    </w:p>
    <w:p w:rsidR="005E569C" w:rsidRDefault="005E569C">
      <w:pPr>
        <w:pStyle w:val="ConsPlusNormal"/>
        <w:ind w:firstLine="540"/>
        <w:jc w:val="both"/>
      </w:pPr>
      <w:r>
        <w:t>8. Телефонное средство коллективного доступа обеспечивает возможность использования остатка денежных средств, внесение которых подтверждено универсальной картой связи с кратностью, равной одной копейке.</w:t>
      </w:r>
    </w:p>
    <w:p w:rsidR="005E569C" w:rsidRDefault="005E569C">
      <w:pPr>
        <w:pStyle w:val="ConsPlusNormal"/>
        <w:ind w:firstLine="540"/>
        <w:jc w:val="both"/>
      </w:pPr>
      <w:r>
        <w:t>9. Телефонное средство коллективного доступа обеспечивает конфиденциальность и целостность передаваемой и хранимой информации, а также распознавание (аутентификацию) универсальных карт связи.</w:t>
      </w:r>
    </w:p>
    <w:p w:rsidR="005E569C" w:rsidRDefault="005E569C">
      <w:pPr>
        <w:pStyle w:val="ConsPlusNormal"/>
        <w:ind w:firstLine="540"/>
        <w:jc w:val="both"/>
      </w:pPr>
      <w:r>
        <w:t>Информация о техническом состоянии телефонного средства коллективного доступа не реже одного раза в сутки передается в систему управления, мониторинга и контроля за техническим состоянием телефонных средств коллективного доступа оператора универсального обслуживания.</w:t>
      </w:r>
    </w:p>
    <w:p w:rsidR="005E569C" w:rsidRDefault="005E569C">
      <w:pPr>
        <w:pStyle w:val="ConsPlusNormal"/>
        <w:ind w:firstLine="540"/>
        <w:jc w:val="both"/>
      </w:pPr>
      <w:r>
        <w:t>10. Система управления, мониторинга и контроля за техническим состоянием телефонных средств коллективного доступа обеспечивает:</w:t>
      </w:r>
    </w:p>
    <w:p w:rsidR="005E569C" w:rsidRDefault="005E569C">
      <w:pPr>
        <w:pStyle w:val="ConsPlusNormal"/>
        <w:ind w:firstLine="540"/>
        <w:jc w:val="both"/>
      </w:pPr>
      <w:r>
        <w:t>а) сбор, обработку и хранение информации:</w:t>
      </w:r>
    </w:p>
    <w:p w:rsidR="005E569C" w:rsidRDefault="005E569C">
      <w:pPr>
        <w:pStyle w:val="ConsPlusNormal"/>
        <w:ind w:firstLine="540"/>
        <w:jc w:val="both"/>
      </w:pPr>
      <w:r>
        <w:t>- о технических параметрах установленных телефонных средств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>- о тарифах на универсальные услуги связи;</w:t>
      </w:r>
    </w:p>
    <w:p w:rsidR="005E569C" w:rsidRDefault="005E569C">
      <w:pPr>
        <w:pStyle w:val="ConsPlusNormal"/>
        <w:ind w:firstLine="540"/>
        <w:jc w:val="both"/>
      </w:pPr>
      <w:r>
        <w:t>- об объемах оказанных универсальных услуг связи.</w:t>
      </w:r>
    </w:p>
    <w:p w:rsidR="005E569C" w:rsidRDefault="005E569C">
      <w:pPr>
        <w:pStyle w:val="ConsPlusNormal"/>
        <w:ind w:firstLine="540"/>
        <w:jc w:val="both"/>
      </w:pPr>
      <w:r>
        <w:t>б) учет универсальных карт связи, разрешенных и запрещенных к приему в телефонных средствах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lastRenderedPageBreak/>
        <w:t>в) учет и передачу в телефонные средства коллективного доступа действующих ключей аутентификации, используемых для приема универсальных карт связи;</w:t>
      </w:r>
    </w:p>
    <w:p w:rsidR="005E569C" w:rsidRDefault="005E569C">
      <w:pPr>
        <w:pStyle w:val="ConsPlusNormal"/>
        <w:ind w:firstLine="540"/>
        <w:jc w:val="both"/>
      </w:pPr>
      <w:r>
        <w:t>г) защиту от несанкционированного доступа к информации, содержащейся в системе управления, мониторинга и контроля за техническим состоянием телефонных средств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>д) формирование отчетов об оказанных универсальных услугах телефонной связи и отчетов о техническом состоянии телефонных средств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>е)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телефонных средств коллективного доступа и принятия своевременных мер по устранению выявленных повреждений.</w:t>
      </w:r>
    </w:p>
    <w:p w:rsidR="005E569C" w:rsidRDefault="005E569C">
      <w:pPr>
        <w:pStyle w:val="ConsPlusNormal"/>
        <w:ind w:firstLine="540"/>
        <w:jc w:val="both"/>
      </w:pPr>
      <w:r>
        <w:t>Информация, содержащаяся в системе управления, мониторинга и контроля за техническим состоянием телефонных средств коллективного доступа, хранится не менее 3-х лет.</w:t>
      </w:r>
    </w:p>
    <w:p w:rsidR="005E569C" w:rsidRDefault="005E569C">
      <w:pPr>
        <w:pStyle w:val="ConsPlusNormal"/>
        <w:ind w:firstLine="540"/>
        <w:jc w:val="both"/>
      </w:pPr>
      <w:r>
        <w:t>11. Средства электропитания в течение не менее 24-х часов непрерывной работы телефонных средств коллективного доступа обеспечивают автономное электропитание средств связи, выполняющих функцию систем передачи, с помощью которых организуется линия связи, соединяющая телефонное средство коллективного доступа с узлом связи сети местной телефонной связи.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right"/>
        <w:outlineLvl w:val="0"/>
      </w:pPr>
      <w:r>
        <w:t>Приложение N 2</w:t>
      </w:r>
    </w:p>
    <w:p w:rsidR="005E569C" w:rsidRDefault="005E569C">
      <w:pPr>
        <w:pStyle w:val="ConsPlusNormal"/>
        <w:jc w:val="right"/>
      </w:pPr>
      <w:r>
        <w:t>к приказу Минкомсвязи России</w:t>
      </w:r>
    </w:p>
    <w:p w:rsidR="005E569C" w:rsidRDefault="005E569C">
      <w:pPr>
        <w:pStyle w:val="ConsPlusNormal"/>
        <w:jc w:val="right"/>
      </w:pPr>
      <w:r>
        <w:t>от 30.09.2015 N 371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Title"/>
        <w:jc w:val="center"/>
      </w:pPr>
      <w:bookmarkStart w:id="3" w:name="P99"/>
      <w:bookmarkEnd w:id="3"/>
      <w:r>
        <w:t>ТРЕБОВАНИЯ</w:t>
      </w:r>
    </w:p>
    <w:p w:rsidR="005E569C" w:rsidRDefault="005E569C">
      <w:pPr>
        <w:pStyle w:val="ConsPlusTitle"/>
        <w:jc w:val="center"/>
      </w:pPr>
      <w:r>
        <w:t>К ПОСТРОЕНИЮ, УПРАВЛЕНИЮ, ОРГАНИЗАЦИОННО-ТЕХНИЧЕСКОМУ</w:t>
      </w:r>
    </w:p>
    <w:p w:rsidR="005E569C" w:rsidRDefault="005E569C">
      <w:pPr>
        <w:pStyle w:val="ConsPlusTitle"/>
        <w:jc w:val="center"/>
      </w:pPr>
      <w:r>
        <w:t>ОБЕСПЕЧЕНИЮ УСТОЙЧИВОГО ФУНКЦИОНИРОВАНИЯ, УСЛОВИЯМ</w:t>
      </w:r>
    </w:p>
    <w:p w:rsidR="005E569C" w:rsidRDefault="005E569C">
      <w:pPr>
        <w:pStyle w:val="ConsPlusTitle"/>
        <w:jc w:val="center"/>
      </w:pPr>
      <w:r>
        <w:t>ВЗАИМОДЕЙСТВИЯ СЕТИ СВЯЗИ ПРИ ОКАЗАНИИ УНИВЕРСАЛЬНЫХ</w:t>
      </w:r>
    </w:p>
    <w:p w:rsidR="005E569C" w:rsidRDefault="005E569C">
      <w:pPr>
        <w:pStyle w:val="ConsPlusTitle"/>
        <w:jc w:val="center"/>
      </w:pPr>
      <w:r>
        <w:t>УСЛУГ СВЯЗИ ПО ПЕРЕДАЧЕ ДАННЫХ И ПРЕДОСТАВЛЕНИЮ ДОСТУПА</w:t>
      </w:r>
    </w:p>
    <w:p w:rsidR="005E569C" w:rsidRDefault="005E569C">
      <w:pPr>
        <w:pStyle w:val="ConsPlusTitle"/>
        <w:jc w:val="center"/>
      </w:pPr>
      <w:r>
        <w:t>К ИНФОРМАЦИОННО-ТЕЛЕКОММУНИКАЦИОННОЙ СЕТИ "ИНТЕРНЕТ"</w:t>
      </w:r>
    </w:p>
    <w:p w:rsidR="005E569C" w:rsidRDefault="005E569C">
      <w:pPr>
        <w:pStyle w:val="ConsPlusTitle"/>
        <w:jc w:val="center"/>
      </w:pPr>
      <w:r>
        <w:t>С ИСПОЛЬЗОВАНИЕМ СРЕДСТВ КОЛЛЕКТИВНОГО ДОСТУПА</w:t>
      </w:r>
    </w:p>
    <w:p w:rsidR="005E569C" w:rsidRDefault="005E569C">
      <w:pPr>
        <w:pStyle w:val="ConsPlusTitle"/>
        <w:jc w:val="center"/>
      </w:pPr>
      <w:r>
        <w:t>(БЕЗ ИСПОЛЬЗОВАНИЯ ПОЛЬЗОВАТЕЛЬСКОГО</w:t>
      </w:r>
    </w:p>
    <w:p w:rsidR="005E569C" w:rsidRDefault="005E569C">
      <w:pPr>
        <w:pStyle w:val="ConsPlusTitle"/>
        <w:jc w:val="center"/>
      </w:pPr>
      <w:r>
        <w:t>ОБОРУДОВАНИЯ АБОНЕНТА)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ind w:firstLine="540"/>
        <w:jc w:val="both"/>
      </w:pPr>
      <w:r>
        <w:t>1. Универсальные услуги связи по передаче данных и предоставлению доступа к информационно-телекоммуникационной сети "Интернет" оказываются оператором универсального обслуживания с использованием персональных компьютеров со средствами ввода и отображения информации (далее - информационные средства коллективного доступа).</w:t>
      </w:r>
    </w:p>
    <w:p w:rsidR="005E569C" w:rsidRDefault="005E569C">
      <w:pPr>
        <w:pStyle w:val="ConsPlusNormal"/>
        <w:ind w:firstLine="540"/>
        <w:jc w:val="both"/>
      </w:pPr>
      <w:r>
        <w:t>Допускается организация информационных средств коллективного доступа с использованием многофункциональных устройств, информационных киосков (инфоматов) или аналогичных устройств.</w:t>
      </w:r>
    </w:p>
    <w:p w:rsidR="005E569C" w:rsidRDefault="005E569C">
      <w:pPr>
        <w:pStyle w:val="ConsPlusNormal"/>
        <w:ind w:firstLine="540"/>
        <w:jc w:val="both"/>
      </w:pPr>
      <w:r>
        <w:t>Сеть связи включает в себя средства связи с подключенными к ним информационными средствами коллективного доступа, оборудование, используемое для учета объема оказываемых услуг связи, систему управления, мониторинга и контроля за техническим состоянием информационных средств коллективного доступа, линии связи, соединяющие средства связи с узлами связи сети (сетей) передачи данных.</w:t>
      </w:r>
    </w:p>
    <w:p w:rsidR="005E569C" w:rsidRDefault="005E569C">
      <w:pPr>
        <w:pStyle w:val="ConsPlusNormal"/>
        <w:ind w:firstLine="540"/>
        <w:jc w:val="both"/>
      </w:pPr>
      <w:r>
        <w:t>2. Информационные средства коллективного доступа устанавливаются в пунктах коллективного доступа (далее - ПКД), размещенных в помещениях, предназначенных для оказания универсальных услуг связи, и позволяют оказывать универсальные услуги связи по передаче данных и предоставлению доступа к информационно-телекоммуникационной сети "Интернет" (без использования пользовательского оборудования абонента).</w:t>
      </w:r>
    </w:p>
    <w:p w:rsidR="005E569C" w:rsidRDefault="005E569C">
      <w:pPr>
        <w:pStyle w:val="ConsPlusNormal"/>
        <w:ind w:firstLine="540"/>
        <w:jc w:val="both"/>
      </w:pPr>
      <w:r>
        <w:lastRenderedPageBreak/>
        <w:t>В ПКД должны быть созданы условия для беспрепятственного доступа к универсальным услугам связи инвалидов.</w:t>
      </w:r>
    </w:p>
    <w:p w:rsidR="005E569C" w:rsidRDefault="005E569C">
      <w:pPr>
        <w:pStyle w:val="ConsPlusNormal"/>
        <w:ind w:firstLine="540"/>
        <w:jc w:val="both"/>
      </w:pPr>
      <w:r>
        <w:t>3. Место расположения информационных средств коллективного доступа в пределах населенного пункта определяется оператором универсального обслуживания самостоятельно.</w:t>
      </w:r>
    </w:p>
    <w:p w:rsidR="005E569C" w:rsidRDefault="005E569C">
      <w:pPr>
        <w:pStyle w:val="ConsPlusNormal"/>
        <w:ind w:firstLine="540"/>
        <w:jc w:val="both"/>
      </w:pPr>
      <w:r>
        <w:t>Место расположения информационных средств коллективного доступа должно быть обозначено специальным информационным указателем, включающим следующие сведения:</w:t>
      </w:r>
    </w:p>
    <w:p w:rsidR="005E569C" w:rsidRDefault="005E569C">
      <w:pPr>
        <w:pStyle w:val="ConsPlusNormal"/>
        <w:ind w:firstLine="540"/>
        <w:jc w:val="both"/>
      </w:pPr>
      <w:r>
        <w:t>- наименования вида оказываемых универсальных услуг связи;</w:t>
      </w:r>
    </w:p>
    <w:p w:rsidR="005E569C" w:rsidRDefault="005E569C">
      <w:pPr>
        <w:pStyle w:val="ConsPlusNormal"/>
        <w:ind w:firstLine="540"/>
        <w:jc w:val="both"/>
      </w:pPr>
      <w:r>
        <w:t>- информация о способах подключения/оплаты универсальной услуги связи;</w:t>
      </w:r>
    </w:p>
    <w:p w:rsidR="005E569C" w:rsidRDefault="005E569C">
      <w:pPr>
        <w:pStyle w:val="ConsPlusNormal"/>
        <w:ind w:firstLine="540"/>
        <w:jc w:val="both"/>
      </w:pPr>
      <w:r>
        <w:t>- правила обращения с информационным средством коллективного доступа для пользования универсальной услугой связи;</w:t>
      </w:r>
    </w:p>
    <w:p w:rsidR="005E569C" w:rsidRDefault="005E569C">
      <w:pPr>
        <w:pStyle w:val="ConsPlusNormal"/>
        <w:ind w:firstLine="540"/>
        <w:jc w:val="both"/>
      </w:pPr>
      <w:r>
        <w:t>- контактная информация для получения справочно-информационной и технической поддержки;</w:t>
      </w:r>
    </w:p>
    <w:p w:rsidR="005E569C" w:rsidRDefault="005E569C">
      <w:pPr>
        <w:pStyle w:val="ConsPlusNormal"/>
        <w:ind w:firstLine="540"/>
        <w:jc w:val="both"/>
      </w:pPr>
      <w:r>
        <w:t>- сведения о тарифах на оказываемую универсальную услугу связи.</w:t>
      </w:r>
    </w:p>
    <w:p w:rsidR="005E569C" w:rsidRDefault="005E569C">
      <w:pPr>
        <w:pStyle w:val="ConsPlusNormal"/>
        <w:ind w:firstLine="540"/>
        <w:jc w:val="both"/>
      </w:pPr>
      <w:r>
        <w:t xml:space="preserve">4. Информационное средство коллективного доступа должно обеспечивать предоставление пользователю универсальными услугами связи возможностей, определенных в </w:t>
      </w:r>
      <w:hyperlink r:id="rId13" w:history="1">
        <w:r>
          <w:rPr>
            <w:color w:val="0000FF"/>
          </w:rPr>
          <w:t>Правилах</w:t>
        </w:r>
      </w:hyperlink>
      <w:r>
        <w:t xml:space="preserve"> оказания универсальных услуг связи.</w:t>
      </w:r>
    </w:p>
    <w:p w:rsidR="005E569C" w:rsidRDefault="005E569C">
      <w:pPr>
        <w:pStyle w:val="ConsPlusNormal"/>
        <w:ind w:firstLine="540"/>
        <w:jc w:val="both"/>
      </w:pPr>
      <w:r>
        <w:t>Информация о техническом состоянии информационного средства коллективного доступа не реже одного раза в сутки передается в систему управления, мониторинга и контроля за техническим состоянием информационных средств коллективного доступа оператора универсального обслуживания.</w:t>
      </w:r>
    </w:p>
    <w:p w:rsidR="005E569C" w:rsidRDefault="005E569C">
      <w:pPr>
        <w:pStyle w:val="ConsPlusNormal"/>
        <w:ind w:firstLine="540"/>
        <w:jc w:val="both"/>
      </w:pPr>
      <w:r>
        <w:t xml:space="preserve">5. В качестве средств, позволяющих пользователю воспользоваться универсальными услугами связи на ПКД, могут быть использованы универсальные карты связи, а также коды доступа к универсальным услугам связи. Универсальная карта связи должна соответствовать </w:t>
      </w:r>
      <w:hyperlink w:anchor="P68" w:history="1">
        <w:r>
          <w:rPr>
            <w:color w:val="0000FF"/>
          </w:rPr>
          <w:t>пункту 7</w:t>
        </w:r>
      </w:hyperlink>
      <w:r>
        <w:t xml:space="preserve">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устройств, содержащихся в Приложении N 1 к настоящему приказу.</w:t>
      </w:r>
    </w:p>
    <w:p w:rsidR="005E569C" w:rsidRDefault="005E569C">
      <w:pPr>
        <w:pStyle w:val="ConsPlusNormal"/>
        <w:ind w:firstLine="540"/>
        <w:jc w:val="both"/>
      </w:pPr>
      <w:r>
        <w:t xml:space="preserve">При наличии технической возможности оплата универсальных услуг связи может осуществляться в форме наличных или безналичных расчетов (в том числе с использованием платежных карт), а также иными способами, установленными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оказания универсальных услуг связи.</w:t>
      </w:r>
    </w:p>
    <w:p w:rsidR="005E569C" w:rsidRDefault="005E569C">
      <w:pPr>
        <w:pStyle w:val="ConsPlusNormal"/>
        <w:ind w:firstLine="540"/>
        <w:jc w:val="both"/>
      </w:pPr>
      <w:r>
        <w:t>Дополнительно могут быть использованы предоплаченные карты со скретч-панелью, под которой размещается код доступа к услугам связи.</w:t>
      </w:r>
    </w:p>
    <w:p w:rsidR="005E569C" w:rsidRDefault="005E569C">
      <w:pPr>
        <w:pStyle w:val="ConsPlusNormal"/>
        <w:ind w:firstLine="540"/>
        <w:jc w:val="both"/>
      </w:pPr>
      <w:r>
        <w:t>6. Система управления, мониторинга и контроля за техническим состоянием информационных средств коллективного доступа обеспечивает следующее:</w:t>
      </w:r>
    </w:p>
    <w:p w:rsidR="005E569C" w:rsidRDefault="005E569C">
      <w:pPr>
        <w:pStyle w:val="ConsPlusNormal"/>
        <w:ind w:firstLine="540"/>
        <w:jc w:val="both"/>
      </w:pPr>
      <w:r>
        <w:t>а) сбор, обработку и хранение информации:</w:t>
      </w:r>
    </w:p>
    <w:p w:rsidR="005E569C" w:rsidRDefault="005E569C">
      <w:pPr>
        <w:pStyle w:val="ConsPlusNormal"/>
        <w:ind w:firstLine="540"/>
        <w:jc w:val="both"/>
      </w:pPr>
      <w:r>
        <w:t>- о технических параметрах установленных информационных средств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>- о тарифах на универсальные услуги связи;</w:t>
      </w:r>
    </w:p>
    <w:p w:rsidR="005E569C" w:rsidRDefault="005E569C">
      <w:pPr>
        <w:pStyle w:val="ConsPlusNormal"/>
        <w:ind w:firstLine="540"/>
        <w:jc w:val="both"/>
      </w:pPr>
      <w:r>
        <w:t>- об объемах принятой и переданной информации;</w:t>
      </w:r>
    </w:p>
    <w:p w:rsidR="005E569C" w:rsidRDefault="005E569C">
      <w:pPr>
        <w:pStyle w:val="ConsPlusNormal"/>
        <w:ind w:firstLine="540"/>
        <w:jc w:val="both"/>
      </w:pPr>
      <w:r>
        <w:t>- об объемах оказанных универсальных услуг, выраженных в минутах или мегабайтах, а также количестве установленных соединений (сеансов связи);</w:t>
      </w:r>
    </w:p>
    <w:p w:rsidR="005E569C" w:rsidRDefault="005E569C">
      <w:pPr>
        <w:pStyle w:val="ConsPlusNormal"/>
        <w:ind w:firstLine="540"/>
        <w:jc w:val="both"/>
      </w:pPr>
      <w:r>
        <w:t>б) учет универсальных карт связи, разрешенных и запрещенных к использованию в пунктах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>в) учет и передачу в информационные средства коллективного доступа действующих ключей аутентификации, используемых для приема универсальных карт связи;</w:t>
      </w:r>
    </w:p>
    <w:p w:rsidR="005E569C" w:rsidRDefault="005E569C">
      <w:pPr>
        <w:pStyle w:val="ConsPlusNormal"/>
        <w:ind w:firstLine="540"/>
        <w:jc w:val="both"/>
      </w:pPr>
      <w:r>
        <w:t>г) защиту от несанкционированного доступа к информации, содержащейся в системе управления, мониторинга и контроля за техническим состоянием информационных средств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>д) формирование отчетов об оказанных универсальных услугах связи по передаче данных и предоставлению доступа к информационно-телекоммуникационной сети "Интернет" и отчетов о техническом состоянии информационных средств коллективного доступа;</w:t>
      </w:r>
    </w:p>
    <w:p w:rsidR="005E569C" w:rsidRDefault="005E569C">
      <w:pPr>
        <w:pStyle w:val="ConsPlusNormal"/>
        <w:ind w:firstLine="540"/>
        <w:jc w:val="both"/>
      </w:pPr>
      <w:r>
        <w:t xml:space="preserve">е)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</w:t>
      </w:r>
      <w:r>
        <w:lastRenderedPageBreak/>
        <w:t>необходимой оператору универсального обслуживания для анализа работы информационных средств коллективного доступа и принятия своевременных мер по устранению выявленных повреждений.</w:t>
      </w:r>
    </w:p>
    <w:p w:rsidR="005E569C" w:rsidRDefault="005E569C">
      <w:pPr>
        <w:pStyle w:val="ConsPlusNormal"/>
        <w:ind w:firstLine="540"/>
        <w:jc w:val="both"/>
      </w:pPr>
      <w:r>
        <w:t>Информация, содержащаяся в системе управления, мониторинга и контроля за техническим состоянием информационных средств коллективного доступа, хранится не менее 3-х лет.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right"/>
        <w:outlineLvl w:val="0"/>
      </w:pPr>
      <w:r>
        <w:t>Приложение N 3</w:t>
      </w:r>
    </w:p>
    <w:p w:rsidR="005E569C" w:rsidRDefault="005E569C">
      <w:pPr>
        <w:pStyle w:val="ConsPlusNormal"/>
        <w:jc w:val="right"/>
      </w:pPr>
      <w:r>
        <w:t>к приказу Минкомсвязи России</w:t>
      </w:r>
    </w:p>
    <w:p w:rsidR="005E569C" w:rsidRDefault="005E569C">
      <w:pPr>
        <w:pStyle w:val="ConsPlusNormal"/>
        <w:jc w:val="right"/>
      </w:pPr>
      <w:r>
        <w:t>от 30.09.2015 N 371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Title"/>
        <w:jc w:val="center"/>
      </w:pPr>
      <w:bookmarkStart w:id="4" w:name="P147"/>
      <w:bookmarkEnd w:id="4"/>
      <w:r>
        <w:t>ТРЕБОВАНИЯ</w:t>
      </w:r>
    </w:p>
    <w:p w:rsidR="005E569C" w:rsidRDefault="005E569C">
      <w:pPr>
        <w:pStyle w:val="ConsPlusTitle"/>
        <w:jc w:val="center"/>
      </w:pPr>
      <w:r>
        <w:t>К ПОСТРОЕНИЮ, УПРАВЛЕНИЮ, ОРГАНИЗАЦИОННО-ТЕХНИЧЕСКОМУ</w:t>
      </w:r>
    </w:p>
    <w:p w:rsidR="005E569C" w:rsidRDefault="005E569C">
      <w:pPr>
        <w:pStyle w:val="ConsPlusTitle"/>
        <w:jc w:val="center"/>
      </w:pPr>
      <w:r>
        <w:t>ОБЕСПЕЧЕНИЮ УСТОЙЧИВОГО ФУНКЦИОНИРОВАНИЯ, УСЛОВИЯМ</w:t>
      </w:r>
    </w:p>
    <w:p w:rsidR="005E569C" w:rsidRDefault="005E569C">
      <w:pPr>
        <w:pStyle w:val="ConsPlusTitle"/>
        <w:jc w:val="center"/>
      </w:pPr>
      <w:r>
        <w:t>ВЗАИМОДЕЙСТВИЯ СЕТИ СВЯЗИ ПРИ ОКАЗАНИИ УНИВЕРСАЛЬНЫХ</w:t>
      </w:r>
    </w:p>
    <w:p w:rsidR="005E569C" w:rsidRDefault="005E569C">
      <w:pPr>
        <w:pStyle w:val="ConsPlusTitle"/>
        <w:jc w:val="center"/>
      </w:pPr>
      <w:r>
        <w:t>УСЛУГ СВЯЗИ ПО ПЕРЕДАЧЕ ДАННЫХ И ПРЕДОСТАВЛЕНИЮ ДОСТУПА</w:t>
      </w:r>
    </w:p>
    <w:p w:rsidR="005E569C" w:rsidRDefault="005E569C">
      <w:pPr>
        <w:pStyle w:val="ConsPlusTitle"/>
        <w:jc w:val="center"/>
      </w:pPr>
      <w:r>
        <w:t>К ИНФОРМАЦИОННО-ТЕЛЕКОММУНИКАЦИОННОЙ СЕТИ "ИНТЕРНЕТ"</w:t>
      </w:r>
    </w:p>
    <w:p w:rsidR="005E569C" w:rsidRDefault="005E569C">
      <w:pPr>
        <w:pStyle w:val="ConsPlusTitle"/>
        <w:jc w:val="center"/>
      </w:pPr>
      <w:r>
        <w:t>С ИСПОЛЬЗОВАНИЕМ ТОЧЕК ДОСТУПА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ind w:firstLine="540"/>
        <w:jc w:val="both"/>
      </w:pPr>
      <w:r>
        <w:t>1. Сеть связи включает в себя средства связи и сооружения связи, образующие точку доступа, оборудование, используемое для учета объема оказываемых услуг связи, систему управления, мониторинга и контроля за техническим состоянием точки доступа, линии связи, соединяющие средства связи с узлами связи сети (сетей) передачи данных.</w:t>
      </w:r>
    </w:p>
    <w:p w:rsidR="005E569C" w:rsidRDefault="005E569C">
      <w:pPr>
        <w:pStyle w:val="ConsPlusNormal"/>
        <w:ind w:firstLine="540"/>
        <w:jc w:val="both"/>
      </w:pPr>
      <w:r>
        <w:t>Сеть связи обеспечивает возможность передачи данных для целей оказания универсальных услуг широкополосного доступа к информационно-телекоммуникационной сети "Интернет" для каждого подключенного пользовательского оборудования со скоростью не менее 10 Мбит/с.</w:t>
      </w:r>
    </w:p>
    <w:p w:rsidR="005E569C" w:rsidRDefault="005E569C">
      <w:pPr>
        <w:pStyle w:val="ConsPlusNormal"/>
        <w:ind w:firstLine="540"/>
        <w:jc w:val="both"/>
      </w:pPr>
      <w:r>
        <w:t xml:space="preserve">2. Точка доступа включает в себя узел сети передачи данных, а также сооружения связи и беспроводное оборудование передачи данных, работающее в диапазоне частот с поддержкой стандартов 802.11b/g/n,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применения оборудования радиодоступа. Часть I. Правила применения оборудования радиодоступа для беспроводной передачи данных в диапазоне от 30 МГц до 66 ГГц, утвержденными приказом Министерства связи и массовых коммуникаций Российской Федерации от 14.09.2010 N 124 (зарегистрирован Министерством юстиции Российской Федерации 12 октября 2010 г., регистрационный N 18695) с изменениями, внесенными приказами Министерства связи и массовых коммуникаций Российской Федерации от 23.04.2013 N 93 "О внесении изменений в некоторые приказы Министерства информационных технологий и связи Российской Федерации и приказы Министерства связи и массовых коммуникаций Российской Федерации" (зарегистрирован Министерством юстиции Российской Федерации 14 июня 2013 г., регистрационный N 28788) и от 22.04.2015 N 129 "О внесении изменений в Правила применения оборудования радиодоступа. Часть I. Правила применения оборудования радиодоступа для беспроводной передачи данных в диапазоне от 30 МГц до 66 ГТц, утвержденные приказом Министерства связи и массовых коммуникаций Российской Федерации от 14.09.2010 N 124" (зарегистрирован Министерством юстиции Российской Федерации 14 мая 2015 г., регистрационный N 37274).</w:t>
      </w:r>
    </w:p>
    <w:p w:rsidR="005E569C" w:rsidRDefault="005E569C">
      <w:pPr>
        <w:pStyle w:val="ConsPlusNormal"/>
        <w:ind w:firstLine="540"/>
        <w:jc w:val="both"/>
      </w:pPr>
      <w:r>
        <w:t>3. Антенная система беспроводного оборудования передачи данных, входящего в состав точки доступа, должна быть размещена на высоте не менее 3 метров и не более 10 метров от уровня земли в месте установки точки доступа.</w:t>
      </w:r>
    </w:p>
    <w:p w:rsidR="005E569C" w:rsidRDefault="005E569C">
      <w:pPr>
        <w:pStyle w:val="ConsPlusNormal"/>
        <w:ind w:firstLine="540"/>
        <w:jc w:val="both"/>
      </w:pPr>
      <w:r>
        <w:t>4. Оборудование узла сети передачи данных, входящего в состав точки доступа, обеспечивается портами стандартов 10/100 Base-TX (RJ-45), 1000 Base-X (SFP) в количестве, определяемом оператором универсального обслуживания, при этом оператор универсального обслуживания обеспечивает наличие незадействованных портов узла сети передачи данных и возможность расширения узла сети передачи данных дополнительными портами.</w:t>
      </w:r>
    </w:p>
    <w:p w:rsidR="005E569C" w:rsidRDefault="005E569C">
      <w:pPr>
        <w:pStyle w:val="ConsPlusNormal"/>
        <w:ind w:firstLine="540"/>
        <w:jc w:val="both"/>
      </w:pPr>
      <w:r>
        <w:lastRenderedPageBreak/>
        <w:t>Оператор универсального обслуживания не вправе отказать пользователю в предоставлении доступа к информационно-телекоммуникационной сети "Интернет" с использованием точки доступа по причине отсутствия незадействованных портов на узле сети передачи данных, входящем в состав точки доступа.</w:t>
      </w:r>
    </w:p>
    <w:p w:rsidR="005E569C" w:rsidRDefault="005E569C">
      <w:pPr>
        <w:pStyle w:val="ConsPlusNormal"/>
        <w:ind w:firstLine="540"/>
        <w:jc w:val="both"/>
      </w:pPr>
      <w:r>
        <w:t>Оператор универсального обслуживания не вправе отказать пользователю универсальных услуг связи в заключении договора об оказании универсальных услуг связи по передаче данных и предоставлению доступа к информационно-телекоммуникационной сети "Интернет" с использованием точки доступа по причине отсутствия свободных портов на узле сети передачи данных, входящем в состав точки доступа.</w:t>
      </w:r>
    </w:p>
    <w:p w:rsidR="005E569C" w:rsidRDefault="005E569C">
      <w:pPr>
        <w:pStyle w:val="ConsPlusNormal"/>
        <w:ind w:firstLine="540"/>
        <w:jc w:val="both"/>
      </w:pPr>
      <w:r>
        <w:t>Оператор универсального обслуживания обязан увеличить количество портов на узле сети передачи данных, входящем в состав точки доступа, в случае отсутствия свободных портов на данном узле, позволяющих обеспечить оказание универсальных услуг связи по передаче данных и предоставлению доступа к информационно-телекоммуникационной сети "Интернет" с использованием точки доступа по заявлению пользователя о заключении с оператором универсального обслуживания договора об оказании таких услуг.</w:t>
      </w:r>
    </w:p>
    <w:p w:rsidR="005E569C" w:rsidRDefault="005E569C">
      <w:pPr>
        <w:pStyle w:val="ConsPlusNormal"/>
        <w:ind w:firstLine="540"/>
        <w:jc w:val="both"/>
      </w:pPr>
      <w:r>
        <w:t>5. Точка доступа устанавливается на территории населенного пункта. Место расположения точки доступа в пределах населенного пункта определяется оператором универсального обслуживания самостоятельно.</w:t>
      </w:r>
    </w:p>
    <w:p w:rsidR="005E569C" w:rsidRDefault="005E569C">
      <w:pPr>
        <w:pStyle w:val="ConsPlusNormal"/>
        <w:ind w:firstLine="540"/>
        <w:jc w:val="both"/>
      </w:pPr>
      <w:r>
        <w:t>Место расположения точки доступа должно быть обозначено специальным информационным указателем, включающим следующие сведения:</w:t>
      </w:r>
    </w:p>
    <w:p w:rsidR="005E569C" w:rsidRDefault="005E569C">
      <w:pPr>
        <w:pStyle w:val="ConsPlusNormal"/>
        <w:ind w:firstLine="540"/>
        <w:jc w:val="both"/>
      </w:pPr>
      <w:r>
        <w:t>- наименования вида оказываемых универсальных услуг связи;</w:t>
      </w:r>
    </w:p>
    <w:p w:rsidR="005E569C" w:rsidRDefault="005E569C">
      <w:pPr>
        <w:pStyle w:val="ConsPlusNormal"/>
        <w:ind w:firstLine="540"/>
        <w:jc w:val="both"/>
      </w:pPr>
      <w:r>
        <w:t>- информация о способах подключения/оплаты универсальной услуги связи;</w:t>
      </w:r>
    </w:p>
    <w:p w:rsidR="005E569C" w:rsidRDefault="005E569C">
      <w:pPr>
        <w:pStyle w:val="ConsPlusNormal"/>
        <w:ind w:firstLine="540"/>
        <w:jc w:val="both"/>
      </w:pPr>
      <w:r>
        <w:t>- правила оказания универсальных услуг связи с использованием точек доступа;</w:t>
      </w:r>
    </w:p>
    <w:p w:rsidR="005E569C" w:rsidRDefault="005E569C">
      <w:pPr>
        <w:pStyle w:val="ConsPlusNormal"/>
        <w:ind w:firstLine="540"/>
        <w:jc w:val="both"/>
      </w:pPr>
      <w:r>
        <w:t>- контактная информация для получения справочно-информационной и технической поддержки;</w:t>
      </w:r>
    </w:p>
    <w:p w:rsidR="005E569C" w:rsidRDefault="005E569C">
      <w:pPr>
        <w:pStyle w:val="ConsPlusNormal"/>
        <w:ind w:firstLine="540"/>
        <w:jc w:val="both"/>
      </w:pPr>
      <w:r>
        <w:t>- сведения о тарифах на оказываемую универсальную услугу связи.</w:t>
      </w:r>
    </w:p>
    <w:p w:rsidR="005E569C" w:rsidRDefault="005E569C">
      <w:pPr>
        <w:pStyle w:val="ConsPlusNormal"/>
        <w:ind w:firstLine="540"/>
        <w:jc w:val="both"/>
      </w:pPr>
      <w:r>
        <w:t>6. Пользователь использует собственное пользовательское (оконечное) оборудование для получения доступа к универсальным услугам связи с использованием точки доступа.</w:t>
      </w:r>
    </w:p>
    <w:p w:rsidR="005E569C" w:rsidRDefault="005E569C">
      <w:pPr>
        <w:pStyle w:val="ConsPlusNormal"/>
        <w:ind w:firstLine="540"/>
        <w:jc w:val="both"/>
      </w:pPr>
      <w:r>
        <w:t xml:space="preserve">В качестве средств, позволяющих пользователю воспользоваться универсальными услугами связи с использованием точек доступа, могут быть использованы универсальные карты связи, а также коды доступа к универсальным услугам связи. Универсальная карта связи должна соответствовать </w:t>
      </w:r>
      <w:hyperlink w:anchor="P68" w:history="1">
        <w:r>
          <w:rPr>
            <w:color w:val="0000FF"/>
          </w:rPr>
          <w:t>пункту 7</w:t>
        </w:r>
      </w:hyperlink>
      <w:r>
        <w:t xml:space="preserve">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устройств, содержащихся в Приложении N 1 к настоящему приказу.</w:t>
      </w:r>
    </w:p>
    <w:p w:rsidR="005E569C" w:rsidRDefault="005E569C">
      <w:pPr>
        <w:pStyle w:val="ConsPlusNormal"/>
        <w:ind w:firstLine="540"/>
        <w:jc w:val="both"/>
      </w:pPr>
      <w:r>
        <w:t xml:space="preserve">При наличии технической возможности оплата универсальных услуг связи может осуществляться в форме наличных или безналичных расчетов (в том числе с использованием платежных карт), а также иными способами, установленными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оказания универсальных услуг связи.</w:t>
      </w:r>
    </w:p>
    <w:p w:rsidR="005E569C" w:rsidRDefault="005E569C">
      <w:pPr>
        <w:pStyle w:val="ConsPlusNormal"/>
        <w:ind w:firstLine="540"/>
        <w:jc w:val="both"/>
      </w:pPr>
      <w:r>
        <w:t>Дополнительно могут быть использованы предоплаченные карты со скретч-панелью, под которой размещается код доступа к услугам связи.</w:t>
      </w:r>
    </w:p>
    <w:p w:rsidR="005E569C" w:rsidRDefault="005E569C">
      <w:pPr>
        <w:pStyle w:val="ConsPlusNormal"/>
        <w:ind w:firstLine="540"/>
        <w:jc w:val="both"/>
      </w:pPr>
      <w:r>
        <w:t>7. Технические и программные средства точки доступа или сети передачи данных, к которой подключена точка доступа, обеспечивают учет объема оказанных универсальных услуг связи.</w:t>
      </w:r>
    </w:p>
    <w:p w:rsidR="005E569C" w:rsidRDefault="005E569C">
      <w:pPr>
        <w:pStyle w:val="ConsPlusNormal"/>
        <w:ind w:firstLine="540"/>
        <w:jc w:val="both"/>
      </w:pPr>
      <w:r>
        <w:t xml:space="preserve">Единицей объема оказанных универсальных услуг связи является единица тарификации, определенная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тарифов на универсальные услуги связи, утвержденными постановлением Правительства Российской Федерации от 21 апреля 2005 г. N 242 (Собрание законодательства Российской Федерации, 2005, N 17, ст. 1573; N 44, ст. 4561; 2007, N 49, ст. 6174; 2015, N 15, ст. 2273; N 37, ст. 5153).</w:t>
      </w:r>
    </w:p>
    <w:p w:rsidR="005E569C" w:rsidRDefault="005E569C">
      <w:pPr>
        <w:pStyle w:val="ConsPlusNormal"/>
        <w:ind w:firstLine="540"/>
        <w:jc w:val="both"/>
      </w:pPr>
      <w:r>
        <w:t>Данные об объемах оказанных универсальных услуг связи регистрируются в электронных журналах, защищенных от удаления и редактирования данных.</w:t>
      </w:r>
    </w:p>
    <w:p w:rsidR="005E569C" w:rsidRDefault="005E569C">
      <w:pPr>
        <w:pStyle w:val="ConsPlusNormal"/>
        <w:ind w:firstLine="540"/>
        <w:jc w:val="both"/>
      </w:pPr>
      <w:r>
        <w:t>Информация о техническом состоянии точек доступа не реже одного раза в сутки передается в систему управления, мониторинга и контроля за техническим состоянием точек доступа оператора универсального обслуживания.</w:t>
      </w:r>
    </w:p>
    <w:p w:rsidR="005E569C" w:rsidRDefault="005E569C">
      <w:pPr>
        <w:pStyle w:val="ConsPlusNormal"/>
        <w:ind w:firstLine="540"/>
        <w:jc w:val="both"/>
      </w:pPr>
      <w:r>
        <w:lastRenderedPageBreak/>
        <w:t>8. Система управления, мониторинга и контроля за техническим состоянием точек доступа обеспечивает следующее:</w:t>
      </w:r>
    </w:p>
    <w:p w:rsidR="005E569C" w:rsidRDefault="005E569C">
      <w:pPr>
        <w:pStyle w:val="ConsPlusNormal"/>
        <w:ind w:firstLine="540"/>
        <w:jc w:val="both"/>
      </w:pPr>
      <w:r>
        <w:t>а) сбор, обработку и хранение информации:</w:t>
      </w:r>
    </w:p>
    <w:p w:rsidR="005E569C" w:rsidRDefault="005E569C">
      <w:pPr>
        <w:pStyle w:val="ConsPlusNormal"/>
        <w:ind w:firstLine="540"/>
        <w:jc w:val="both"/>
      </w:pPr>
      <w:r>
        <w:t>- о технических параметрах точек доступа;</w:t>
      </w:r>
    </w:p>
    <w:p w:rsidR="005E569C" w:rsidRDefault="005E569C">
      <w:pPr>
        <w:pStyle w:val="ConsPlusNormal"/>
        <w:ind w:firstLine="540"/>
        <w:jc w:val="both"/>
      </w:pPr>
      <w:r>
        <w:t>- о тарифах на универсальные услуги связи;</w:t>
      </w:r>
    </w:p>
    <w:p w:rsidR="005E569C" w:rsidRDefault="005E569C">
      <w:pPr>
        <w:pStyle w:val="ConsPlusNormal"/>
        <w:ind w:firstLine="540"/>
        <w:jc w:val="both"/>
      </w:pPr>
      <w:r>
        <w:t>- об объемах принятой и переданной информации;</w:t>
      </w:r>
    </w:p>
    <w:p w:rsidR="005E569C" w:rsidRDefault="005E569C">
      <w:pPr>
        <w:pStyle w:val="ConsPlusNormal"/>
        <w:ind w:firstLine="540"/>
        <w:jc w:val="both"/>
      </w:pPr>
      <w:r>
        <w:t>- об объемах принятой и переданной информации;</w:t>
      </w:r>
    </w:p>
    <w:p w:rsidR="005E569C" w:rsidRDefault="005E569C">
      <w:pPr>
        <w:pStyle w:val="ConsPlusNormal"/>
        <w:ind w:firstLine="540"/>
        <w:jc w:val="both"/>
      </w:pPr>
      <w:r>
        <w:t>- об объемах оказанных универсальных услуг, выраженных в минутах или мегабайтах, а также количестве установленных соединений (сеансов связи);</w:t>
      </w:r>
    </w:p>
    <w:p w:rsidR="005E569C" w:rsidRDefault="005E569C">
      <w:pPr>
        <w:pStyle w:val="ConsPlusNormal"/>
        <w:ind w:firstLine="540"/>
        <w:jc w:val="both"/>
      </w:pPr>
      <w:r>
        <w:t>- о монтированных и задействованных портах на узлах сети передачи данных;</w:t>
      </w:r>
    </w:p>
    <w:p w:rsidR="005E569C" w:rsidRDefault="005E569C">
      <w:pPr>
        <w:pStyle w:val="ConsPlusNormal"/>
        <w:ind w:firstLine="540"/>
        <w:jc w:val="both"/>
      </w:pPr>
      <w:r>
        <w:t>б) учет универсальных карт связи, разрешенных и запрещенных к использованию;</w:t>
      </w:r>
    </w:p>
    <w:p w:rsidR="005E569C" w:rsidRDefault="005E569C">
      <w:pPr>
        <w:pStyle w:val="ConsPlusNormal"/>
        <w:ind w:firstLine="540"/>
        <w:jc w:val="both"/>
      </w:pPr>
      <w:r>
        <w:t>в) защиту от несанкционированного доступа к информации, содержащейся в системе управления, мониторинга и контроля за техническим состоянием точек доступа;</w:t>
      </w:r>
    </w:p>
    <w:p w:rsidR="005E569C" w:rsidRDefault="005E569C">
      <w:pPr>
        <w:pStyle w:val="ConsPlusNormal"/>
        <w:ind w:firstLine="540"/>
        <w:jc w:val="both"/>
      </w:pPr>
      <w:r>
        <w:t>г) формирование отчетов об оказанных универсальных услугах телефонной связи и отчетов о техническом состоянии точек доступа;</w:t>
      </w:r>
    </w:p>
    <w:p w:rsidR="005E569C" w:rsidRDefault="005E569C">
      <w:pPr>
        <w:pStyle w:val="ConsPlusNormal"/>
        <w:ind w:firstLine="540"/>
        <w:jc w:val="both"/>
      </w:pPr>
      <w:r>
        <w:t>д) выявление и информирование оператора универсального обслуживания об аварийных ситуациях, формирование отчетов о них, а также предоставление статистической информации, необходимой оператору универсального обслуживания для анализа работы информационных средств коллективного доступа и принятия своевременных мер по устранению выявленных повреждений.</w:t>
      </w:r>
    </w:p>
    <w:p w:rsidR="005E569C" w:rsidRDefault="005E569C">
      <w:pPr>
        <w:pStyle w:val="ConsPlusNormal"/>
        <w:ind w:firstLine="540"/>
        <w:jc w:val="both"/>
      </w:pPr>
      <w:r>
        <w:t>Информация, содержащаяся в системе управления, мониторинга и контроля за техническим состоянием точек доступа, хранится не менее 3-х лет.</w:t>
      </w:r>
    </w:p>
    <w:p w:rsidR="005E569C" w:rsidRDefault="005E569C">
      <w:pPr>
        <w:pStyle w:val="ConsPlusNormal"/>
        <w:ind w:firstLine="540"/>
        <w:jc w:val="both"/>
      </w:pPr>
      <w:r>
        <w:t>9. В целях обеспечения бесперебойного функционирования точек доступа и средств связи, выполняющих функции систем передачи, с помощью которых организуется линия связи, соединяющая точки доступа с узлом связи сети передачи данных, используются резервные автономные источники питания, обеспечивающие при нарушении внешнего электроснабжения функционирование указанных средств связи не менее 4 часов при нагрузке, соответствующей часу наибольшей нагрузки.</w:t>
      </w: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jc w:val="both"/>
      </w:pPr>
    </w:p>
    <w:p w:rsidR="005E569C" w:rsidRDefault="005E5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88" w:rsidRDefault="00A14688">
      <w:bookmarkStart w:id="5" w:name="_GoBack"/>
      <w:bookmarkEnd w:id="5"/>
    </w:p>
    <w:sectPr w:rsidR="00A14688" w:rsidSect="0043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C"/>
    <w:rsid w:val="005E569C"/>
    <w:rsid w:val="00A1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C289-4BE1-44B6-B001-F8CF9CEA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4BEFE0082766A53EE01EE3F5D9D1CFDDB1A36A914569525FD3DE5C51040FBE836BEB8D3795116DAO6N" TargetMode="External"/><Relationship Id="rId13" Type="http://schemas.openxmlformats.org/officeDocument/2006/relationships/hyperlink" Target="consultantplus://offline/ref=7344BEFE0082766A53EE01EE3F5D9D1CFEDC1A3BA813569525FD3DE5C51040FBE836BEB8D3795411DAO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44BEFE0082766A53EE01EE3F5D9D1CFDDB1A36A914569525FD3DE5C51040FBE836BEB8D3D7OFN" TargetMode="External"/><Relationship Id="rId12" Type="http://schemas.openxmlformats.org/officeDocument/2006/relationships/hyperlink" Target="consultantplus://offline/ref=7344BEFE0082766A53EE01EE3F5D9D1CFEDC1A3BA813569525FD3DE5C51040FBE836BEB8D3795411DAO1N" TargetMode="External"/><Relationship Id="rId17" Type="http://schemas.openxmlformats.org/officeDocument/2006/relationships/hyperlink" Target="consultantplus://offline/ref=7344BEFE0082766A53EE01EE3F5D9D1CFED31E34A912569525FD3DE5C51040FBE836BEB8D3795410DAO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44BEFE0082766A53EE01EE3F5D9D1CFEDC1A3BA813569525FD3DE5C51040FBE836BEB8D3795411DAO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4BEFE0082766A53EE01EE3F5D9D1CFDDB1A36A914569525FD3DE5C51040FBE836BEBBD6D7O8N" TargetMode="External"/><Relationship Id="rId11" Type="http://schemas.openxmlformats.org/officeDocument/2006/relationships/hyperlink" Target="consultantplus://offline/ref=7344BEFE0082766A53EE01EE3F5D9D1CFEDB1C37A914569525FD3DE5C5D1O0N" TargetMode="External"/><Relationship Id="rId5" Type="http://schemas.openxmlformats.org/officeDocument/2006/relationships/hyperlink" Target="consultantplus://offline/ref=7344BEFE0082766A53EE01EE3F5D9D1CFDDB1A36A914569525FD3DE5C51040FBE836BEB8D3795217DAO1N" TargetMode="External"/><Relationship Id="rId15" Type="http://schemas.openxmlformats.org/officeDocument/2006/relationships/hyperlink" Target="consultantplus://offline/ref=7344BEFE0082766A53EE01EE3F5D9D1CFEDC123BAC12569525FD3DE5C51040FBE836BEB8D3795411DAO4N" TargetMode="External"/><Relationship Id="rId10" Type="http://schemas.openxmlformats.org/officeDocument/2006/relationships/hyperlink" Target="consultantplus://offline/ref=7344BEFE0082766A53EE01EE3F5D9D1CFEDB1C36AF10569525FD3DE5C5D1O0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44BEFE0082766A53EE01EE3F5D9D1CFEDC1A3BA813569525FD3DE5C51040FBE836BEB8D3795411DAO1N" TargetMode="External"/><Relationship Id="rId14" Type="http://schemas.openxmlformats.org/officeDocument/2006/relationships/hyperlink" Target="consultantplus://offline/ref=7344BEFE0082766A53EE01EE3F5D9D1CFEDC1A3BA813569525FD3DE5C51040FBE836BEB8D3795411DA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2016-12-15T13:14:00Z</dcterms:created>
  <dcterms:modified xsi:type="dcterms:W3CDTF">2016-12-15T13:14:00Z</dcterms:modified>
</cp:coreProperties>
</file>